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0578" w14:textId="45B61B3C" w:rsidR="00E70990" w:rsidRDefault="00E70990" w:rsidP="00E70990">
      <w:pPr>
        <w:pStyle w:val="NormalWeb"/>
        <w:spacing w:before="45" w:beforeAutospacing="0" w:after="45" w:afterAutospacing="0"/>
        <w:ind w:left="225" w:firstLine="15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5075FB" wp14:editId="44D12766">
                <wp:simplePos x="0" y="0"/>
                <wp:positionH relativeFrom="column">
                  <wp:posOffset>135255</wp:posOffset>
                </wp:positionH>
                <wp:positionV relativeFrom="paragraph">
                  <wp:posOffset>1100455</wp:posOffset>
                </wp:positionV>
                <wp:extent cx="5782310" cy="5537200"/>
                <wp:effectExtent l="0" t="0" r="889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553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7FE30" w14:textId="1E7FD530" w:rsidR="00E70990" w:rsidRDefault="00E70990" w:rsidP="00E70990">
                            <w:pPr>
                              <w:jc w:val="lowKashida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Appointed </w:t>
                            </w:r>
                            <w:r w:rsidR="00176078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Houshyar Mansouri</w:t>
                            </w: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,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Attorney at Law, or his representative</w:t>
                            </w:r>
                            <w:r w:rsidR="004E531A">
                              <w:rPr>
                                <w:sz w:val="27"/>
                                <w:szCs w:val="27"/>
                              </w:rPr>
                              <w:t xml:space="preserve">, at </w:t>
                            </w:r>
                            <w:r w:rsidR="004E531A" w:rsidRPr="000338DA">
                              <w:rPr>
                                <w:sz w:val="27"/>
                                <w:szCs w:val="27"/>
                              </w:rPr>
                              <w:t>No. 61</w:t>
                            </w:r>
                            <w:r w:rsidR="004E531A">
                              <w:rPr>
                                <w:sz w:val="27"/>
                                <w:szCs w:val="27"/>
                              </w:rPr>
                              <w:t>,</w:t>
                            </w:r>
                            <w:r w:rsidR="004E531A" w:rsidRPr="000338DA">
                              <w:rPr>
                                <w:sz w:val="27"/>
                                <w:szCs w:val="27"/>
                              </w:rPr>
                              <w:t xml:space="preserve"> Haghani Blvd</w:t>
                            </w:r>
                            <w:r w:rsidR="004E531A">
                              <w:rPr>
                                <w:sz w:val="27"/>
                                <w:szCs w:val="27"/>
                              </w:rPr>
                              <w:t>,</w:t>
                            </w:r>
                            <w:r w:rsidR="004E531A" w:rsidRPr="000338DA">
                              <w:rPr>
                                <w:sz w:val="27"/>
                                <w:szCs w:val="27"/>
                              </w:rPr>
                              <w:t xml:space="preserve"> Vanak Sq</w:t>
                            </w:r>
                            <w:r w:rsidR="004E531A">
                              <w:rPr>
                                <w:sz w:val="27"/>
                                <w:szCs w:val="27"/>
                              </w:rPr>
                              <w:t xml:space="preserve">, </w:t>
                            </w:r>
                            <w:r w:rsidR="004E531A" w:rsidRPr="002233C8">
                              <w:rPr>
                                <w:sz w:val="27"/>
                                <w:szCs w:val="27"/>
                              </w:rPr>
                              <w:t>Tehran</w:t>
                            </w:r>
                            <w:r w:rsidR="004F4D10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4418F6">
                              <w:rPr>
                                <w:sz w:val="27"/>
                                <w:szCs w:val="27"/>
                              </w:rPr>
                              <w:t>19699</w:t>
                            </w:r>
                            <w:r w:rsidR="004E531A" w:rsidRPr="002233C8">
                              <w:rPr>
                                <w:sz w:val="27"/>
                                <w:szCs w:val="27"/>
                              </w:rPr>
                              <w:t>, IRAN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 to act as special attorney taking all necessary actions for the registration of all of the Trademarks and Patents in Iran for the protection of rights accruing there from; to make and obtain records of renewal, transfers, amendments, improvements, additions, licenses and to withdraw applications and apply for the cancellation of the client's trademarks and patents both registered and pending; to pay and receive back all taxes; to receive and sign and give receipts for all titles and documents; to announce the lost documents and request for obtaining duplicate of certificates; to bring actions of cancellations of infringing trademarks and patents; to collect legal evidence, proceed with confiscation, seizure and destruction of infringing products and/or trademarks; to act versus any real and/or legal entity and in all courts of justice, Civil, Penal, Public, Revolutionary, Appeal and Supreme court and to send legal notices; the right to protest to judgements, to appeal with the Appellate and Supreme Courts; to call third party, to file counterclaim, third party intervention and to defend against such cases; to claim damages; the right of objection; to claim forgery and abnegation of documents produced by opponent with the authority to withdraw documents; to refer matters to arbitration and experts; to appoint arbitrators and experts; to settle the claim peacefully; to withdraw the case and petitions; to appoint substitutes though repeatedly and to revoke such appointment; to issue execution and enforce ruling of the court; to receive amount mentioned in judgments; and all accomplished for the execution of this power.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br/>
                              <w:t>The undersigned elected domicile at the Mansouri &amp; Associates.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075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65pt;margin-top:86.65pt;width:455.3pt;height:4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klDQIAAPcDAAAOAAAAZHJzL2Uyb0RvYy54bWysU9tu2zAMfR+wfxD0vjhJkzU14hRdugwD&#10;ugvQ7QNkWY6FyaJGKbGzry8lu2m2vQ3TgyCK1C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" stroked="f">
                <v:textbox>
                  <w:txbxContent>
                    <w:p w14:paraId="4AA7FE30" w14:textId="1E7FD530" w:rsidR="00E70990" w:rsidRDefault="00E70990" w:rsidP="00E70990">
                      <w:pPr>
                        <w:jc w:val="lowKashida"/>
                      </w:pPr>
                      <w:r>
                        <w:rPr>
                          <w:sz w:val="27"/>
                          <w:szCs w:val="27"/>
                        </w:rPr>
                        <w:t xml:space="preserve">Appointed </w:t>
                      </w:r>
                      <w:r w:rsidR="00176078">
                        <w:rPr>
                          <w:b/>
                          <w:bCs/>
                          <w:sz w:val="27"/>
                          <w:szCs w:val="27"/>
                        </w:rPr>
                        <w:t>Houshyar Mansouri</w:t>
                      </w:r>
                      <w:r>
                        <w:rPr>
                          <w:b/>
                          <w:bCs/>
                          <w:sz w:val="27"/>
                          <w:szCs w:val="27"/>
                        </w:rPr>
                        <w:t xml:space="preserve">, </w:t>
                      </w:r>
                      <w:r>
                        <w:rPr>
                          <w:sz w:val="27"/>
                          <w:szCs w:val="27"/>
                        </w:rPr>
                        <w:t>Attorney at Law, or his representative</w:t>
                      </w:r>
                      <w:r w:rsidR="004E531A">
                        <w:rPr>
                          <w:sz w:val="27"/>
                          <w:szCs w:val="27"/>
                        </w:rPr>
                        <w:t xml:space="preserve">, at </w:t>
                      </w:r>
                      <w:r w:rsidR="004E531A" w:rsidRPr="000338DA">
                        <w:rPr>
                          <w:sz w:val="27"/>
                          <w:szCs w:val="27"/>
                        </w:rPr>
                        <w:t>No. 61</w:t>
                      </w:r>
                      <w:r w:rsidR="004E531A">
                        <w:rPr>
                          <w:sz w:val="27"/>
                          <w:szCs w:val="27"/>
                        </w:rPr>
                        <w:t>,</w:t>
                      </w:r>
                      <w:r w:rsidR="004E531A" w:rsidRPr="000338DA">
                        <w:rPr>
                          <w:sz w:val="27"/>
                          <w:szCs w:val="27"/>
                        </w:rPr>
                        <w:t xml:space="preserve"> Haghani Blvd</w:t>
                      </w:r>
                      <w:r w:rsidR="004E531A">
                        <w:rPr>
                          <w:sz w:val="27"/>
                          <w:szCs w:val="27"/>
                        </w:rPr>
                        <w:t>,</w:t>
                      </w:r>
                      <w:r w:rsidR="004E531A" w:rsidRPr="000338DA">
                        <w:rPr>
                          <w:sz w:val="27"/>
                          <w:szCs w:val="27"/>
                        </w:rPr>
                        <w:t xml:space="preserve"> Vanak Sq</w:t>
                      </w:r>
                      <w:r w:rsidR="004E531A">
                        <w:rPr>
                          <w:sz w:val="27"/>
                          <w:szCs w:val="27"/>
                        </w:rPr>
                        <w:t xml:space="preserve">, </w:t>
                      </w:r>
                      <w:r w:rsidR="004E531A" w:rsidRPr="002233C8">
                        <w:rPr>
                          <w:sz w:val="27"/>
                          <w:szCs w:val="27"/>
                        </w:rPr>
                        <w:t>Tehran</w:t>
                      </w:r>
                      <w:r w:rsidR="004F4D10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4418F6">
                        <w:rPr>
                          <w:sz w:val="27"/>
                          <w:szCs w:val="27"/>
                        </w:rPr>
                        <w:t>19699</w:t>
                      </w:r>
                      <w:r w:rsidR="004E531A" w:rsidRPr="002233C8">
                        <w:rPr>
                          <w:sz w:val="27"/>
                          <w:szCs w:val="27"/>
                        </w:rPr>
                        <w:t>, IRAN</w:t>
                      </w:r>
                      <w:r>
                        <w:rPr>
                          <w:sz w:val="27"/>
                          <w:szCs w:val="27"/>
                        </w:rPr>
                        <w:t xml:space="preserve"> to act as special attorney taking all necessary actions for the registration of all of the Trademarks and Patents in Iran for the protection of rights accruing there from; to make and obtain records of renewal, transfers, amendments, improvements, additions, licenses and to withdraw applications and apply for the cancellation of the client's trademarks and patents both registered and pending; to pay and receive back all taxes; to receive and sign and give receipts for all titles and documents; to announce the lost documents and request for obtaining duplicate of certificates; to bring actions of cancellations of infringing trademarks and patents; to collect legal evidence, proceed with confiscation, seizure and destruction of infringing products and/or trademarks; to act versus any real and/or legal entity and in all courts of justice, Civil, Penal, Public, Revolutionary, Appeal and Supreme court and to send legal notices; the right to protest to judgements, to appeal with the Appellate and Supreme Courts; to call third party, to file counterclaim, third party intervention and to defend against such cases; to claim damages; the right of objection; to claim forgery and abnegation of documents produced by opponent with the authority to withdraw documents; to refer matters to arbitration and experts; to appoint arbitrators and experts; to settle the claim peacefully; to withdraw the case and petitions; to appoint substitutes though repeatedly and to revoke such appointment; to issue execution and enforce ruling of the court; to receive amount mentioned in judgments; and all accomplished for the execution of this power.</w:t>
                      </w:r>
                      <w:r>
                        <w:rPr>
                          <w:sz w:val="27"/>
                          <w:szCs w:val="27"/>
                        </w:rPr>
                        <w:br/>
                        <w:t>The undersigned elected domicile at the Mansouri &amp; Associates.</w:t>
                      </w:r>
                      <w:r>
                        <w:rPr>
                          <w:sz w:val="27"/>
                          <w:szCs w:val="27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88B">
        <w:br/>
      </w:r>
      <w:r w:rsidR="0099588B">
        <w:br/>
      </w:r>
      <w:r w:rsidR="0099588B">
        <w:rPr>
          <w:sz w:val="27"/>
          <w:szCs w:val="27"/>
        </w:rPr>
        <w:t xml:space="preserve">I/We (Name):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99588B">
        <w:rPr>
          <w:sz w:val="27"/>
          <w:szCs w:val="27"/>
        </w:rPr>
        <w:t>Title:</w:t>
      </w:r>
      <w:r w:rsidR="0099588B">
        <w:rPr>
          <w:sz w:val="27"/>
          <w:szCs w:val="27"/>
        </w:rPr>
        <w:br/>
        <w:t xml:space="preserve">Of (Company):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99588B">
        <w:rPr>
          <w:sz w:val="27"/>
          <w:szCs w:val="27"/>
        </w:rPr>
        <w:t>In (Add., Country):</w:t>
      </w:r>
      <w:r w:rsidR="0099588B">
        <w:rPr>
          <w:sz w:val="27"/>
          <w:szCs w:val="27"/>
        </w:rPr>
        <w:br/>
      </w:r>
      <w:r w:rsidR="0099588B">
        <w:rPr>
          <w:sz w:val="27"/>
          <w:szCs w:val="27"/>
        </w:rPr>
        <w:br/>
      </w:r>
    </w:p>
    <w:p w14:paraId="6A6E151C" w14:textId="77777777" w:rsidR="00E70990" w:rsidRDefault="00E70990" w:rsidP="00E70990">
      <w:pPr>
        <w:pStyle w:val="NormalWeb"/>
        <w:spacing w:before="45" w:beforeAutospacing="0" w:after="45" w:afterAutospacing="0"/>
        <w:rPr>
          <w:sz w:val="27"/>
          <w:szCs w:val="27"/>
        </w:rPr>
      </w:pPr>
    </w:p>
    <w:p w14:paraId="3F84C1EE" w14:textId="763F9C11" w:rsidR="0099588B" w:rsidRPr="00E70990" w:rsidRDefault="0099588B" w:rsidP="00E70990">
      <w:pPr>
        <w:pStyle w:val="NormalWeb"/>
        <w:spacing w:before="45" w:beforeAutospacing="0" w:after="45" w:afterAutospacing="0"/>
        <w:ind w:left="225" w:firstLine="15"/>
        <w:rPr>
          <w:sz w:val="27"/>
          <w:szCs w:val="27"/>
        </w:rPr>
      </w:pPr>
      <w:r>
        <w:rPr>
          <w:sz w:val="27"/>
          <w:szCs w:val="27"/>
        </w:rPr>
        <w:br/>
        <w:t>Date:</w:t>
      </w:r>
      <w:r>
        <w:rPr>
          <w:sz w:val="27"/>
          <w:szCs w:val="27"/>
        </w:rPr>
        <w:br/>
        <w:t xml:space="preserve">Signed by (Name): </w:t>
      </w:r>
      <w:r w:rsidR="00E70990">
        <w:rPr>
          <w:sz w:val="27"/>
          <w:szCs w:val="27"/>
        </w:rPr>
        <w:t xml:space="preserve">                                  </w:t>
      </w:r>
      <w:r w:rsidR="00E70990">
        <w:rPr>
          <w:sz w:val="27"/>
          <w:szCs w:val="27"/>
        </w:rPr>
        <w:tab/>
      </w:r>
      <w:r>
        <w:rPr>
          <w:sz w:val="27"/>
          <w:szCs w:val="27"/>
        </w:rPr>
        <w:t>Signature:</w:t>
      </w:r>
      <w:r>
        <w:rPr>
          <w:sz w:val="27"/>
          <w:szCs w:val="27"/>
        </w:rPr>
        <w:br/>
        <w:t> </w:t>
      </w:r>
    </w:p>
    <w:p w14:paraId="42529269" w14:textId="77777777" w:rsidR="00B32B0F" w:rsidRDefault="00000000"/>
    <w:sectPr w:rsidR="00B32B0F" w:rsidSect="00AB0AC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1F"/>
    <w:rsid w:val="00176078"/>
    <w:rsid w:val="001C574E"/>
    <w:rsid w:val="001D66A1"/>
    <w:rsid w:val="00360E8A"/>
    <w:rsid w:val="004418F6"/>
    <w:rsid w:val="004E531A"/>
    <w:rsid w:val="004F4D10"/>
    <w:rsid w:val="0099588B"/>
    <w:rsid w:val="00A219FC"/>
    <w:rsid w:val="00AB0AC1"/>
    <w:rsid w:val="00C62B1F"/>
    <w:rsid w:val="00D464CE"/>
    <w:rsid w:val="00E70990"/>
    <w:rsid w:val="00E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2AFC"/>
  <w15:chartTrackingRefBased/>
  <w15:docId w15:val="{969E13BA-8176-457B-9B76-CA810B7A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Mahsa Piran</dc:creator>
  <cp:keywords/>
  <dc:description/>
  <cp:lastModifiedBy>Mahsa Piran</cp:lastModifiedBy>
  <cp:revision>9</cp:revision>
  <dcterms:created xsi:type="dcterms:W3CDTF">2023-06-15T14:59:00Z</dcterms:created>
  <dcterms:modified xsi:type="dcterms:W3CDTF">2023-07-04T13:34:00Z</dcterms:modified>
</cp:coreProperties>
</file>